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F" w:rsidRDefault="00B7568E" w:rsidP="00DA5643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Росреестр</w:t>
      </w:r>
      <w:r w:rsidR="001D4CDF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 разъясняет возможности </w:t>
      </w:r>
      <w:proofErr w:type="gramStart"/>
      <w:r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решени</w:t>
      </w:r>
      <w:r w:rsidR="001D4CDF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я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 проблемы наличия пересечения границы населенного пункта</w:t>
      </w:r>
      <w:proofErr w:type="gramEnd"/>
      <w:r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 с гр</w:t>
      </w:r>
      <w:r w:rsidR="001D4CDF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а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ницей </w:t>
      </w:r>
      <w:r w:rsidRPr="00B7568E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размещения линейн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ого</w:t>
      </w:r>
      <w:r w:rsidRPr="00B7568E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 объект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а</w:t>
      </w:r>
    </w:p>
    <w:p w:rsidR="001D4CDF" w:rsidRDefault="001D4CDF" w:rsidP="00DA5643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B572F" w:rsidRDefault="00AB572F" w:rsidP="00E57AE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07D6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A10AC0" wp14:editId="3626481C">
            <wp:simplePos x="0" y="0"/>
            <wp:positionH relativeFrom="column">
              <wp:posOffset>-133350</wp:posOffset>
            </wp:positionH>
            <wp:positionV relativeFrom="paragraph">
              <wp:posOffset>22225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письме ФГБУ «ФКП Росреестра» от 16.10.2018 № 10N-2202-МС «О направлении информации» разъясняется, что в настоящее время при внесении в Единый государственный реестр недвижимости (далее – ЕГРН) сведений о границах населенных пунктов одной из причин направления органом регистрации прав уведомления о невозможности внесения в ЕГРН сведений, является пересечение границ таких населенных пунктов с границами земельных участков, предназначенных для размещения линейных объектов, сведения</w:t>
      </w:r>
      <w:proofErr w:type="gramEnd"/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 которых содержатся в ЕГРН.</w:t>
      </w:r>
    </w:p>
    <w:p w:rsidR="00AB572F" w:rsidRPr="00AB572F" w:rsidRDefault="00AB572F" w:rsidP="00AB57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соответствии с требованиями пункта 3 статьи 11.9 Земельного кодекса Российской Федерации (далее – ЗК РФ) границы земельных участков не должны пересекать границы муниципальных образований и (или) границы населенных пунктов.</w:t>
      </w:r>
    </w:p>
    <w:p w:rsidR="00AB572F" w:rsidRPr="00AB572F" w:rsidRDefault="00AB572F" w:rsidP="00AB57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Пунктом 1 статьи 3.6 Федерального закона от 25.10.2001 № 137-ФЗ «О введении в действие Земельного кодекса Российской Федерации» (далее – Закон № 137-ФЗ) предусмотрено следующее: юридические лица, имеющие на праве собственности, праве оперативного управления или праве хозяйственного ведения сооружения, которые в соответствии с ЗК РФ могут размещаться на земельном участке и (или) землях на основании публичного сервитута, имеют право переоформить право постоянного (бессрочного</w:t>
      </w:r>
      <w:proofErr w:type="gramEnd"/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 пользования земельным участком, право аренды земельного участка на публичный сервитут при условии, что право собственности, право оперативного управления или право хозяйственного ведения на указанные сооружения возникло до 01.09.2018.</w:t>
      </w:r>
    </w:p>
    <w:p w:rsidR="00AB572F" w:rsidRDefault="00AB572F" w:rsidP="00AB57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статье 39.37 ЗК РФ определены цели, в которых уст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анавливается публичный сервитут:</w:t>
      </w:r>
    </w:p>
    <w:p w:rsidR="00AB572F" w:rsidRPr="00AB572F" w:rsidRDefault="00AB572F" w:rsidP="00AB57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</w:t>
      </w:r>
      <w:proofErr w:type="gramStart"/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о-</w:t>
      </w:r>
      <w:proofErr w:type="gramEnd"/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:rsidR="00AB572F" w:rsidRPr="00AB572F" w:rsidRDefault="00AB572F" w:rsidP="00AB57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ремонта;</w:t>
      </w:r>
      <w:proofErr w:type="gramEnd"/>
    </w:p>
    <w:p w:rsidR="00AB572F" w:rsidRPr="00AB572F" w:rsidRDefault="00AB572F" w:rsidP="00AB57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3) устройство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</w:t>
      </w:r>
      <w:proofErr w:type="gramEnd"/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дороги;</w:t>
      </w:r>
    </w:p>
    <w:p w:rsidR="00AB572F" w:rsidRPr="00AB572F" w:rsidRDefault="00AB572F" w:rsidP="00AB57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4) размещение автомобильных дорог и железнодорожных путей в туннелях;</w:t>
      </w:r>
    </w:p>
    <w:p w:rsidR="00AB572F" w:rsidRPr="00AB572F" w:rsidRDefault="00AB572F" w:rsidP="00AB57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5) 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подпунктом 1 комментируемой статьи.</w:t>
      </w:r>
    </w:p>
    <w:p w:rsidR="00AB572F" w:rsidRPr="00AB572F" w:rsidRDefault="00AB572F" w:rsidP="00AB57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 этом в соответствии с частью 3.2 статьи 70 Федерального закона от 13.07.2015 № 218-ФЗ «О государственной регистрации недвижимости» орган регистрации прав снимает с государственного кадастрового учета земельный участок, государственный кадастровый учет которого и (или) государственная регистрация прав на который осуществлены до 01.09.2018, в случае, если право постоянного (бессрочного) пользования таким земельным участком или право аренды такого земельного участка переоформлено на</w:t>
      </w:r>
      <w:proofErr w:type="gramEnd"/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публичный сервитут в соответствии со статьей 3.6 Закона № 137-ФЗ.</w:t>
      </w:r>
    </w:p>
    <w:p w:rsidR="00AB572F" w:rsidRDefault="00AB572F" w:rsidP="00AB572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B57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Таким образом, по мнению Росреестра, проблема наличия пересечения границы населенного пункта с границей земельного участка, предназначенного для размещения протяженного объекта, который отвечает критериям, указанным в пункте 1 статьи 3.6 Закона № 137-ФЗ, статье 39.37 ЗК РФ, может быть решена путем оформления публичного сервитута и снятия земельного участка с государственного кадастрового учета.</w:t>
      </w:r>
    </w:p>
    <w:p w:rsidR="007F3360" w:rsidRPr="00AB572F" w:rsidRDefault="004E66AB" w:rsidP="00AB572F">
      <w:p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</w:t>
      </w:r>
      <w:r w:rsidR="00AB572F">
        <w:rPr>
          <w:rFonts w:ascii="Segoe UI" w:hAnsi="Segoe UI" w:cs="Segoe UI"/>
          <w:color w:val="000000"/>
        </w:rPr>
        <w:t>____________</w:t>
      </w:r>
      <w:r w:rsidRPr="00F97A89">
        <w:rPr>
          <w:rFonts w:ascii="Segoe UI" w:hAnsi="Segoe UI" w:cs="Segoe UI"/>
          <w:color w:val="000000"/>
        </w:rPr>
        <w:t>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145FFF"/>
    <w:rsid w:val="001C7BB5"/>
    <w:rsid w:val="001D4CDF"/>
    <w:rsid w:val="00233C2B"/>
    <w:rsid w:val="0027192C"/>
    <w:rsid w:val="0033061B"/>
    <w:rsid w:val="003949CA"/>
    <w:rsid w:val="003A5632"/>
    <w:rsid w:val="003C54EC"/>
    <w:rsid w:val="003D1D77"/>
    <w:rsid w:val="003E4A7F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718BE"/>
    <w:rsid w:val="006A1D75"/>
    <w:rsid w:val="006C60D2"/>
    <w:rsid w:val="006C7A41"/>
    <w:rsid w:val="006F2E34"/>
    <w:rsid w:val="00757D4D"/>
    <w:rsid w:val="007A0F82"/>
    <w:rsid w:val="007F3360"/>
    <w:rsid w:val="00837F78"/>
    <w:rsid w:val="0088141F"/>
    <w:rsid w:val="00956B62"/>
    <w:rsid w:val="00975075"/>
    <w:rsid w:val="00995504"/>
    <w:rsid w:val="009D01E2"/>
    <w:rsid w:val="00A13821"/>
    <w:rsid w:val="00A235A7"/>
    <w:rsid w:val="00A70E4C"/>
    <w:rsid w:val="00AB572F"/>
    <w:rsid w:val="00AC4D32"/>
    <w:rsid w:val="00AD2AFF"/>
    <w:rsid w:val="00AD39DE"/>
    <w:rsid w:val="00AD66D9"/>
    <w:rsid w:val="00B50B1E"/>
    <w:rsid w:val="00B7568E"/>
    <w:rsid w:val="00BA05A2"/>
    <w:rsid w:val="00C13A47"/>
    <w:rsid w:val="00CA7A24"/>
    <w:rsid w:val="00CF4126"/>
    <w:rsid w:val="00D07D69"/>
    <w:rsid w:val="00DA5643"/>
    <w:rsid w:val="00DB64A2"/>
    <w:rsid w:val="00DF68C5"/>
    <w:rsid w:val="00E33B16"/>
    <w:rsid w:val="00E40C17"/>
    <w:rsid w:val="00E57AEF"/>
    <w:rsid w:val="00E62002"/>
    <w:rsid w:val="00EB6B10"/>
    <w:rsid w:val="00EF732D"/>
    <w:rsid w:val="00F15680"/>
    <w:rsid w:val="00F53F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BA1A-33E3-450F-B008-FE1D7047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Силич Виктория Сергеевна</cp:lastModifiedBy>
  <cp:revision>6</cp:revision>
  <dcterms:created xsi:type="dcterms:W3CDTF">2018-08-20T11:47:00Z</dcterms:created>
  <dcterms:modified xsi:type="dcterms:W3CDTF">2018-11-12T12:44:00Z</dcterms:modified>
</cp:coreProperties>
</file>